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6C3FB" w14:textId="77777777" w:rsidR="00F97B50" w:rsidRDefault="00244A6F">
      <w:pPr>
        <w:widowControl w:val="0"/>
        <w:spacing w:after="0" w:line="31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61F966D2" w14:textId="77777777" w:rsidR="00F97B50" w:rsidRDefault="00F97B50">
      <w:pPr>
        <w:widowControl w:val="0"/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EA830C" w14:textId="77777777" w:rsidR="00F97B50" w:rsidRDefault="00F97B50">
      <w:pPr>
        <w:widowControl w:val="0"/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B22765" w14:textId="77777777" w:rsidR="00F97B50" w:rsidRDefault="00F97B50">
      <w:pPr>
        <w:widowControl w:val="0"/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9E24D5" w14:textId="77777777" w:rsidR="00F97B50" w:rsidRDefault="00F97B50">
      <w:pPr>
        <w:widowControl w:val="0"/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F7E2BC" w14:textId="77777777" w:rsidR="00F97B50" w:rsidRDefault="00F97B50">
      <w:pPr>
        <w:widowControl w:val="0"/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C21A97" w14:textId="77777777" w:rsidR="00F97B50" w:rsidRDefault="00F97B50">
      <w:pPr>
        <w:widowControl w:val="0"/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82F9F5" w14:textId="77777777" w:rsidR="00F97B50" w:rsidRDefault="00F97B50">
      <w:pPr>
        <w:widowControl w:val="0"/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BC0372" w14:textId="77777777" w:rsidR="00F97B50" w:rsidRDefault="00F97B50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DD0548" w14:textId="77777777" w:rsidR="00F97B50" w:rsidRDefault="00244A6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14:paraId="1D205EF8" w14:textId="77777777" w:rsidR="00F97B50" w:rsidRDefault="00F97B5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E81254" w14:textId="77777777" w:rsidR="00F97B50" w:rsidRDefault="00244A6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>ПОСТАНОВЛЕНИЕ</w:t>
      </w:r>
    </w:p>
    <w:p w14:paraId="4B14103C" w14:textId="77777777" w:rsidR="00F97B50" w:rsidRDefault="00F97B50">
      <w:pPr>
        <w:widowControl w:val="0"/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BFA10A" w14:textId="77777777" w:rsidR="00F97B50" w:rsidRDefault="00244A6F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</w:t>
      </w:r>
    </w:p>
    <w:p w14:paraId="6191F544" w14:textId="77777777" w:rsidR="00F97B50" w:rsidRDefault="00F97B5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77B1C7A" w14:textId="77777777" w:rsidR="00F97B50" w:rsidRDefault="00244A6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</w:t>
      </w:r>
    </w:p>
    <w:p w14:paraId="090047F2" w14:textId="77777777" w:rsidR="00F97B50" w:rsidRDefault="00F97B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D4B74C" w14:textId="77777777" w:rsidR="00F97B50" w:rsidRDefault="00244A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О проведении на территории Российской Федерации </w:t>
      </w:r>
      <w:r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эксперимента по маркировке средствами идентификации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br/>
        <w:t xml:space="preserve">отдельных видов строительных материалов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br/>
        <w:t xml:space="preserve"> в потребительской упаковке </w:t>
      </w:r>
    </w:p>
    <w:p w14:paraId="7D88DB23" w14:textId="77777777" w:rsidR="00F97B50" w:rsidRDefault="00F97B5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4BC9BA" w14:textId="77777777" w:rsidR="00F97B50" w:rsidRDefault="00244A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2486895D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1. Провести </w:t>
      </w:r>
      <w:bookmarkStart w:id="1" w:name="_Hlk153881498"/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 1 февраля 2024 года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по 1 декабря 2024 года </w:t>
      </w:r>
      <w:bookmarkEnd w:id="1"/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на территории Российской Федерации эксперимент по маркировке средствами идентификации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отдельных видов строительных материалов в потребительской упаковке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эксперимент).</w:t>
      </w:r>
    </w:p>
    <w:p w14:paraId="58506F61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2. Утвердить прилагаемые:</w:t>
      </w:r>
    </w:p>
    <w:p w14:paraId="20CDB7BA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Положение о проведении на терр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итории Российской Федерации эксперимента по маркировке средствами идентификации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отдельных видов строительных материалов в потребительской упаковке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;</w:t>
      </w:r>
    </w:p>
    <w:p w14:paraId="0F0E2C18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отдельных видов строительных материалов в потребительской упаковке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, подлежащих маркировке средствам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и идентификации в рамках эксперимента по маркировке средствами идентификации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отдельных видов строительных материалов в потребительской упаковке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.</w:t>
      </w:r>
    </w:p>
    <w:p w14:paraId="2DBE602C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lastRenderedPageBreak/>
        <w:t>3. Установить, что федеральными органами исполнительной власти, уполномоченными на обеспечение проведения экспе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римента, являются Министерство промышленности и торговли Российской Федерации, </w:t>
      </w:r>
      <w:r>
        <w:rPr>
          <w:rFonts w:ascii="Times New Roman" w:eastAsia="Times New Roman" w:hAnsi="Times New Roman" w:cs="Times New Roman"/>
          <w:color w:val="000000"/>
          <w:sz w:val="28"/>
        </w:rPr>
        <w:t>Министерство строительства и жилищно-коммунального хозяйства Российской Федерации,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Министерство цифрового развития, связи и массовых коммуникаций Российской Федерации, Министерс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тво экономического развития Российской Федерации, Федеральная налоговая служба, Федеральная таможенная служба, Федеральная служба по надзору в сфере защиты прав потребителей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br/>
        <w:t>и благополучия человека, Федеральная служба по аккредитации, Федеральное агентств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о по техническому регулированию и метрологии и Федеральная служба безопасности Российской Федерации (далее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уполномоченные органы).</w:t>
      </w:r>
    </w:p>
    <w:p w14:paraId="7B7C4E73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4. Согласиться с предложением общества с ограниченной ответственностью «Оператор-ЦРПТ» об осуществлении указанным обществом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на безвозмездной основе функций оператора информационной системы, используемой в целях проведения эксперимента (далее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информационная система).</w:t>
      </w:r>
    </w:p>
    <w:p w14:paraId="6ADA8324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5. Рекомендовать оператору информационной системы разработать </w:t>
      </w:r>
      <w:bookmarkStart w:id="2" w:name="_Hlk144455077"/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br/>
      </w:r>
      <w:bookmarkStart w:id="3" w:name="_Hlk153881511"/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до 1 марта 2024 года</w:t>
      </w:r>
      <w:bookmarkEnd w:id="3"/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:</w:t>
      </w:r>
      <w:bookmarkEnd w:id="2"/>
    </w:p>
    <w:p w14:paraId="5BE5F589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а) требования к информационной системе;</w:t>
      </w:r>
    </w:p>
    <w:p w14:paraId="2009738B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б) требования к обеспечению защиты информации, содержащейся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br/>
        <w:t xml:space="preserve">в информационной системе, и к обеспечению информационной безопасности при использовании информационно-коммуникационных технологий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br/>
        <w:t>в рамках эксперимента.</w:t>
      </w:r>
    </w:p>
    <w:p w14:paraId="25A26F1E" w14:textId="77777777" w:rsidR="00F97B50" w:rsidRDefault="00244A6F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0"/>
          <w:lang w:eastAsia="ru-RU"/>
        </w:rPr>
      </w:pPr>
      <w:bookmarkStart w:id="4" w:name="_Hlk144313857"/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6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. Министерству промышленности и торговли Российской Федерации обеспечить:</w:t>
      </w:r>
      <w:bookmarkEnd w:id="4"/>
    </w:p>
    <w:p w14:paraId="638DA0A5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а) координацию создания и функционирования информационной системы, координацию и мониторинг работы участников оборота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отдельных видов строительных материалов в потребительской упаков</w:t>
      </w:r>
      <w:r>
        <w:rPr>
          <w:rFonts w:ascii="Times New Roman" w:eastAsia="Times New Roman" w:hAnsi="Times New Roman" w:cs="Times New Roman"/>
          <w:color w:val="000000"/>
          <w:sz w:val="28"/>
        </w:rPr>
        <w:t>ке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, участвующих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br/>
        <w:t>в эксперименте;</w:t>
      </w:r>
    </w:p>
    <w:p w14:paraId="4B58D679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bookmarkStart w:id="5" w:name="_Hlk144455083"/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lastRenderedPageBreak/>
        <w:t>б) утверждение до 15 марта 2024 г</w:t>
      </w:r>
      <w:bookmarkEnd w:id="5"/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ода требований к информационной системе, а также требований к обеспечению защиты информации, содержащейся в информационной системе, и информационной безопасности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br/>
        <w:t>при использовании информаци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онно-коммуникационных технологий в рамках эксперимента;</w:t>
      </w:r>
    </w:p>
    <w:p w14:paraId="2A28B574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в) разработку и утверждение </w:t>
      </w:r>
      <w:bookmarkStart w:id="6" w:name="_Hlk153881520"/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до 15 апреля 2024 </w:t>
      </w:r>
      <w:bookmarkEnd w:id="6"/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года методических рекомендаций по проведению эксперимента и плана-графика проведения эксперимента;</w:t>
      </w:r>
    </w:p>
    <w:p w14:paraId="76C5E047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г) совместно с уполномоченными органами проведение оцен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ки результатов эксперимента и представление соответствующего доклада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br/>
        <w:t xml:space="preserve">в Правительство Российской Федерации </w:t>
      </w:r>
      <w:bookmarkStart w:id="7" w:name="_Hlk144455091"/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до 1 декабря 2024 г</w:t>
      </w:r>
      <w:bookmarkEnd w:id="7"/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ода.</w:t>
      </w:r>
    </w:p>
    <w:p w14:paraId="203A0C64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7. Федеральной налоговой службе, Федеральной таможенной службе, Федеральной службе по надзору в сфере защиты прав потребителе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й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br/>
        <w:t xml:space="preserve">и благополучия человека, Федеральной службе по аккредитации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Федеральному агентству по техническому регулированию и метрологии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br/>
        <w:t>при осуществлении полномочий в установленных сферах ведения обеспечить информационное взаимодействие своих информационных с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истем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br/>
        <w:t xml:space="preserve">с информационной системой с использованием ранее размещенной в них информации, а также учет сведений, переданных участниками эксперимента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br/>
        <w:t xml:space="preserve">в информационную систему в рамках эксперимента, в том числе в части учета сведений, содержащихся в подсистеме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национального каталога маркированных товаров информационной системы.</w:t>
      </w:r>
    </w:p>
    <w:p w14:paraId="6DFA10E6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8. Реализация уполномоченными органами мероприятий, предусмотренных настоящим постановлением, осуществляется в пределах установленной предельной штатной численности работников соответству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ющих уполномоченных органов и бюджетных ассигнований, предусмотренных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br/>
        <w:t>на руководство и управление в сфере установленных функций.</w:t>
      </w:r>
    </w:p>
    <w:p w14:paraId="2D6726B7" w14:textId="77777777" w:rsidR="00F97B50" w:rsidRDefault="00244A6F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9. В целях обеспечения информационного взаимодействия уполномоченных органов информационная система подключается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br/>
        <w:t>на безвозмез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дной основе к единой системе межведомственного электронного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lastRenderedPageBreak/>
        <w:t>взаимодействия в соответствии с постановлением Правительства Российской Федерации от 8 сентября 2010 года № 697 «О единой системе межведомственного электронного взаимодействия».</w:t>
      </w:r>
    </w:p>
    <w:p w14:paraId="69450854" w14:textId="77777777" w:rsidR="00F97B50" w:rsidRDefault="00F97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14:paraId="185D7428" w14:textId="77777777" w:rsidR="00F97B50" w:rsidRDefault="00F97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DDCC0" w14:textId="77777777" w:rsidR="00F97B50" w:rsidRDefault="00F97B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A90C2" w14:textId="77777777" w:rsidR="00F97B50" w:rsidRDefault="00F97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0489B" w14:textId="77777777" w:rsidR="00F97B50" w:rsidRDefault="00244A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</w:p>
    <w:p w14:paraId="6F0E2BE3" w14:textId="77777777" w:rsidR="00F97B50" w:rsidRDefault="00244A6F">
      <w:pPr>
        <w:tabs>
          <w:tab w:val="left" w:pos="80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Российской Федерации                                                                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Мишустин</w:t>
      </w:r>
      <w:proofErr w:type="spellEnd"/>
    </w:p>
    <w:p w14:paraId="0DB68B8B" w14:textId="77777777" w:rsidR="00F97B50" w:rsidRDefault="00244A6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97B50">
          <w:headerReference w:type="default" r:id="rId7"/>
          <w:foot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14:paraId="2F141283" w14:textId="77777777" w:rsidR="00F97B50" w:rsidRDefault="00244A6F">
      <w:pPr>
        <w:tabs>
          <w:tab w:val="left" w:pos="3418"/>
        </w:tabs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14:paraId="3016FC37" w14:textId="77777777" w:rsidR="00F97B50" w:rsidRDefault="00244A6F">
      <w:pPr>
        <w:tabs>
          <w:tab w:val="left" w:pos="3418"/>
        </w:tabs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7CD68E89" w14:textId="77777777" w:rsidR="00F97B50" w:rsidRDefault="00244A6F">
      <w:pPr>
        <w:tabs>
          <w:tab w:val="left" w:pos="3418"/>
        </w:tabs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4E2725B0" w14:textId="77777777" w:rsidR="00F97B50" w:rsidRDefault="00244A6F">
      <w:pPr>
        <w:tabs>
          <w:tab w:val="left" w:pos="3418"/>
        </w:tabs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_____</w:t>
      </w:r>
    </w:p>
    <w:p w14:paraId="4EDDBDF5" w14:textId="77777777" w:rsidR="00F97B50" w:rsidRDefault="00F97B50">
      <w:pPr>
        <w:tabs>
          <w:tab w:val="left" w:pos="3418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D44DC" w14:textId="77777777" w:rsidR="00F97B50" w:rsidRDefault="00244A6F">
      <w:pPr>
        <w:tabs>
          <w:tab w:val="left" w:pos="3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Л О Ж Е Н И Е</w:t>
      </w:r>
    </w:p>
    <w:p w14:paraId="7CD77220" w14:textId="77777777" w:rsidR="00F97B50" w:rsidRDefault="00244A6F">
      <w:pPr>
        <w:tabs>
          <w:tab w:val="left" w:pos="341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на территории Российской Федерации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эксперимента по маркировке средствами идентификации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отдельных видов строительных материалов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br/>
        <w:t>в потребительской упаковке</w:t>
      </w:r>
    </w:p>
    <w:p w14:paraId="70423D64" w14:textId="77777777" w:rsidR="00F97B50" w:rsidRDefault="00F97B50">
      <w:pPr>
        <w:tabs>
          <w:tab w:val="left" w:pos="3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A2AA0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устанавливает порядок проведения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территории Российской Федерации эксперимента по маркировке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средствами идентификации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отдельных видов строительных материалов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потребительской упаковке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эксперимент). </w:t>
      </w:r>
    </w:p>
    <w:p w14:paraId="2A821B5C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Целями эксперимента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являются:</w:t>
      </w:r>
      <w:bookmarkStart w:id="8" w:name="_Hlk143860325"/>
    </w:p>
    <w:p w14:paraId="5C606D17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определение и согласование с федеральными органами исполнительной власти, уполномоченными на обеспечение проведения эксперимента,</w:t>
      </w:r>
      <w:bookmarkEnd w:id="8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производителями, импортерами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отдельных видов строительных материалов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потребительской упаковке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участники оборота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отдельных видов строительных материалов в потребительской упаковке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состава сведений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 товаре, позволяющего однозначно идентифицировать товарную единицу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отдельных видов строительных материалов в потребительской упаковке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A45EEEF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тестировани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возможностей использования технологии нанесения средств идентификации на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отдельные виды строительных материалов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в потребительской упаковке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состава содержащейся в них информации, а также определение оптимальных способов маркировки средствами идентифика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ции указанной продукции исходя из возможности применения соответствующих технологических решений;</w:t>
      </w:r>
    </w:p>
    <w:p w14:paraId="67EC3005" w14:textId="77777777" w:rsidR="00F97B50" w:rsidRDefault="00F97B50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FB30EA" w14:textId="77777777" w:rsidR="00F97B50" w:rsidRDefault="00F97B50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907FF0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в) апробация полноты и достаточности механизмов маркировки средствами идентификации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отдельных видов строительных материалов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потребительской упаковке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обеспечения противодействия незаконному ввозу, производству и обороту цемента, строительных смесей и растворов,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том числе контрафактных, а также для повышения собираемости налогов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таможенных платежей;</w:t>
      </w:r>
    </w:p>
    <w:p w14:paraId="5F88E8A3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организация эффективного взаимодействия органо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государственной власти, в том числе контрольных органов, с участниками оборота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отдельных видов строительных материалов в потребительской упаковке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25195E0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 определение технических возможностей информационной системы, используемой в целях проведения эксперимент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(далее – информационная система), и ее дальнейшего развития, информационного взаимодействия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государственными информационными системами федеральных органов исполнительной власти, уполномоченных на обеспечение проведения эксперимента</w:t>
      </w:r>
      <w:bookmarkStart w:id="9" w:name="_Hlk143860925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bookmarkEnd w:id="9"/>
    </w:p>
    <w:p w14:paraId="2EEF71FE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 осуществление 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частниками оборота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отдельных видов строительных материалов в потребительской упаковке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принимающих участие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эксперименте, первичного наполнения подсистемы национального каталога маркированных товаров информационной системы сведениями о товаре, позволяющи</w:t>
      </w:r>
      <w:r>
        <w:rPr>
          <w:rFonts w:ascii="Times New Roman" w:hAnsi="Times New Roman" w:cs="Times New Roman"/>
          <w:sz w:val="28"/>
          <w:szCs w:val="28"/>
          <w:lang w:eastAsia="ru-RU"/>
        </w:rPr>
        <w:t>ми однозначно идентифицировать товарную единицу цемента, строительных смесей и растворов;</w:t>
      </w:r>
    </w:p>
    <w:p w14:paraId="32F4D8EB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ж) разработка предложений по внесению изменений в законодательство Российской Федерации, регламентирующее оборот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отдельных видов строительных материалов в потребитель</w:t>
      </w:r>
      <w:r>
        <w:rPr>
          <w:rFonts w:ascii="Times New Roman" w:eastAsia="Times New Roman" w:hAnsi="Times New Roman" w:cs="Times New Roman"/>
          <w:color w:val="000000"/>
          <w:sz w:val="28"/>
        </w:rPr>
        <w:t>ской упаковке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6327953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з) подготовка предложений по определению кодов единой Товарной номенклатуры внешнеэкономической деятельности Евразийского экономического союза и кодов Общероссийского классификатора продукции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 видам экономической деятельности для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отдельны</w:t>
      </w:r>
      <w:r>
        <w:rPr>
          <w:rFonts w:ascii="Times New Roman" w:eastAsia="Times New Roman" w:hAnsi="Times New Roman" w:cs="Times New Roman"/>
          <w:color w:val="000000"/>
          <w:sz w:val="28"/>
        </w:rPr>
        <w:t>х видов строительных материалов в потребительской упаковке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подлежащих обязательной маркировке средствами идентификации.</w:t>
      </w:r>
    </w:p>
    <w:p w14:paraId="096549B6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Участниками эксперимента являются:</w:t>
      </w:r>
    </w:p>
    <w:p w14:paraId="0DC9759B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 федеральные органы исполнительной власти, уполномоченные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 обеспечение проведения эксперимен</w:t>
      </w:r>
      <w:r>
        <w:rPr>
          <w:rFonts w:ascii="Times New Roman" w:hAnsi="Times New Roman" w:cs="Times New Roman"/>
          <w:sz w:val="28"/>
          <w:szCs w:val="28"/>
          <w:lang w:eastAsia="ru-RU"/>
        </w:rPr>
        <w:t>та;</w:t>
      </w:r>
    </w:p>
    <w:p w14:paraId="04B16E6A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участники оборота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отдельных видов строительных материалов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потребительской упаковке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5E58757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оператор информационной системы;</w:t>
      </w:r>
    </w:p>
    <w:p w14:paraId="7185DC3C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операторы электронного документооборота;</w:t>
      </w:r>
    </w:p>
    <w:p w14:paraId="375EDC83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 операторы фискальных данных.</w:t>
      </w:r>
    </w:p>
    <w:p w14:paraId="4D3E6B06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 Участники оборота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отдельных видов строительных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материалов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потребительской упаковке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операторы электронного документооборота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операторы фискальных данных </w:t>
      </w:r>
      <w:bookmarkStart w:id="10" w:name="_Hlk90935992"/>
      <w:r>
        <w:rPr>
          <w:rFonts w:ascii="Times New Roman" w:hAnsi="Times New Roman" w:cs="Times New Roman"/>
          <w:sz w:val="28"/>
          <w:szCs w:val="28"/>
          <w:lang w:eastAsia="ru-RU"/>
        </w:rPr>
        <w:t>участвуют в эксперименте на добровольной основе</w:t>
      </w:r>
      <w:bookmarkEnd w:id="1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для участия в эксперименте подают заявки в соответствии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методическими рекомендациями, указан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ными в пункте 5 настоящего Положения. </w:t>
      </w:r>
    </w:p>
    <w:p w14:paraId="6E9CB26C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 В целях проведения эксперимента Министерство промышленности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торговли Российской Федерации по согласованию с федеральными органами исполнительной власти, уполномоченными на обеспечение проведения эксперимента, 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верждает методические рекомендации, в том числе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 следующим вопросам:</w:t>
      </w:r>
    </w:p>
    <w:p w14:paraId="0C75D2FF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 маркировка средствами идентификации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отдельных видов строительных материалов в потребительской упаковке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виды используемых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эксперименте средств идентификации, способы </w:t>
      </w:r>
      <w:r>
        <w:rPr>
          <w:rFonts w:ascii="Times New Roman" w:hAnsi="Times New Roman" w:cs="Times New Roman"/>
          <w:sz w:val="28"/>
          <w:szCs w:val="28"/>
          <w:lang w:eastAsia="ru-RU"/>
        </w:rPr>
        <w:t>их формирования и нанесения, структура информации, указываемой в средствах идентификации;</w:t>
      </w:r>
    </w:p>
    <w:p w14:paraId="1F2C3A8F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 взаимодействие информационной системы с иными информационными системами участников эксперимента;</w:t>
      </w:r>
    </w:p>
    <w:p w14:paraId="7ECF4315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 подача заявки на участие в эксперименте и прилагаемых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 ней до</w:t>
      </w:r>
      <w:r>
        <w:rPr>
          <w:rFonts w:ascii="Times New Roman" w:hAnsi="Times New Roman" w:cs="Times New Roman"/>
          <w:sz w:val="28"/>
          <w:szCs w:val="28"/>
          <w:lang w:eastAsia="ru-RU"/>
        </w:rPr>
        <w:t>кументов;</w:t>
      </w:r>
    </w:p>
    <w:p w14:paraId="704D733D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 регистрация участников оборота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отдельных видов строительных материалов в потребительской упаковке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информационной системе;</w:t>
      </w:r>
    </w:p>
    <w:p w14:paraId="664AD9AD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 внесение информации в информационную систему, включая состав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представляемых участниками эксперимента сведений;</w:t>
      </w:r>
    </w:p>
    <w:p w14:paraId="608DBF0D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е) наполнение подсистемы национального каталога маркированных товаров информационной системы сведениями о товаре, позволяющими идентифицировать товарную единицу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отдельных видов строительных материалов в потребительской упаковке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>, участвующих в эксперименте;</w:t>
      </w:r>
    </w:p>
    <w:p w14:paraId="38E74391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ж) функции участников эксперимента и порядок их взаимодействия.</w:t>
      </w:r>
    </w:p>
    <w:p w14:paraId="1B17F675" w14:textId="77777777" w:rsidR="00F97B50" w:rsidRDefault="00244A6F">
      <w:pPr>
        <w:widowControl w:val="0"/>
        <w:tabs>
          <w:tab w:val="left" w:pos="11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 Оператор информационной системы предоставляет участникам оборота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отдельных видов строительных материалов в потребительской упаковке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коды маркировки, необходимые для формирования средств ид</w:t>
      </w:r>
      <w:r>
        <w:rPr>
          <w:rFonts w:ascii="Times New Roman" w:hAnsi="Times New Roman" w:cs="Times New Roman"/>
          <w:sz w:val="28"/>
          <w:szCs w:val="28"/>
          <w:lang w:eastAsia="ru-RU"/>
        </w:rPr>
        <w:t>ентификации, в период проведения эксперимента на безвозмездной основе.</w:t>
      </w:r>
    </w:p>
    <w:p w14:paraId="0156A5BF" w14:textId="77777777" w:rsidR="00F97B50" w:rsidRDefault="00F97B50">
      <w:pPr>
        <w:widowControl w:val="0"/>
        <w:tabs>
          <w:tab w:val="left" w:pos="1189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F97B50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74214F8C" w14:textId="77777777" w:rsidR="00F97B50" w:rsidRDefault="00244A6F">
      <w:pPr>
        <w:widowControl w:val="0"/>
        <w:tabs>
          <w:tab w:val="left" w:pos="1189"/>
        </w:tabs>
        <w:spacing w:after="0" w:line="360" w:lineRule="exact"/>
        <w:ind w:left="521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14:paraId="3CF5B2C9" w14:textId="77777777" w:rsidR="00F97B50" w:rsidRDefault="00244A6F">
      <w:pPr>
        <w:widowControl w:val="0"/>
        <w:tabs>
          <w:tab w:val="left" w:pos="1189"/>
        </w:tabs>
        <w:spacing w:after="0" w:line="360" w:lineRule="exact"/>
        <w:ind w:left="521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38D890E0" w14:textId="77777777" w:rsidR="00F97B50" w:rsidRDefault="00244A6F">
      <w:pPr>
        <w:widowControl w:val="0"/>
        <w:tabs>
          <w:tab w:val="left" w:pos="1189"/>
        </w:tabs>
        <w:spacing w:after="0" w:line="360" w:lineRule="exact"/>
        <w:ind w:left="521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673AC2A1" w14:textId="77777777" w:rsidR="00F97B50" w:rsidRDefault="00244A6F">
      <w:pPr>
        <w:widowControl w:val="0"/>
        <w:tabs>
          <w:tab w:val="left" w:pos="1189"/>
        </w:tabs>
        <w:spacing w:after="0" w:line="360" w:lineRule="exact"/>
        <w:ind w:left="521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_____________ № _____</w:t>
      </w:r>
    </w:p>
    <w:p w14:paraId="544991D9" w14:textId="77777777" w:rsidR="00F97B50" w:rsidRDefault="00F97B50">
      <w:pPr>
        <w:widowControl w:val="0"/>
        <w:tabs>
          <w:tab w:val="left" w:pos="1189"/>
        </w:tabs>
        <w:spacing w:after="0" w:line="360" w:lineRule="exact"/>
        <w:ind w:left="521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6D193C" w14:textId="77777777" w:rsidR="00F97B50" w:rsidRDefault="00F97B50">
      <w:pPr>
        <w:widowControl w:val="0"/>
        <w:tabs>
          <w:tab w:val="left" w:pos="1189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6DDFBF" w14:textId="77777777" w:rsidR="00F97B50" w:rsidRDefault="00244A6F">
      <w:pPr>
        <w:widowControl w:val="0"/>
        <w:tabs>
          <w:tab w:val="left" w:pos="11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 Е Р Е Ч Е Н Ь</w:t>
      </w:r>
    </w:p>
    <w:p w14:paraId="432D9122" w14:textId="77777777" w:rsidR="00F97B50" w:rsidRDefault="00244A6F">
      <w:pPr>
        <w:widowControl w:val="0"/>
        <w:tabs>
          <w:tab w:val="left" w:pos="11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отдельных видов строительных материалов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br/>
        <w:t>в потребительской упаковке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подлежащих маркировке средствами идентификации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в рамках эксперимента по маркировке средствами идентификации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отдельных видов строительных материалов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br/>
        <w:t>в потребительской упаковке</w:t>
      </w:r>
      <w:r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46258AA9" w14:textId="77777777" w:rsidR="00F97B50" w:rsidRDefault="00F97B50">
      <w:pPr>
        <w:widowControl w:val="0"/>
        <w:tabs>
          <w:tab w:val="left" w:pos="1189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454FE9" w14:textId="77777777" w:rsidR="00F97B50" w:rsidRDefault="00F97B50">
      <w:pPr>
        <w:widowControl w:val="0"/>
        <w:tabs>
          <w:tab w:val="left" w:pos="1189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098"/>
        <w:gridCol w:w="4529"/>
      </w:tblGrid>
      <w:tr w:rsidR="00F97B50" w14:paraId="0691799A" w14:textId="77777777">
        <w:tc>
          <w:tcPr>
            <w:tcW w:w="5098" w:type="dxa"/>
          </w:tcPr>
          <w:p w14:paraId="6317614E" w14:textId="77777777" w:rsidR="00F97B50" w:rsidRDefault="00244A6F">
            <w:pPr>
              <w:widowControl w:val="0"/>
              <w:tabs>
                <w:tab w:val="left" w:pos="1189"/>
              </w:tabs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ТН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ВЭД ЕАЭС</w:t>
            </w:r>
          </w:p>
        </w:tc>
        <w:tc>
          <w:tcPr>
            <w:tcW w:w="4529" w:type="dxa"/>
          </w:tcPr>
          <w:p w14:paraId="12FCC801" w14:textId="77777777" w:rsidR="00F97B50" w:rsidRDefault="00244A6F">
            <w:pPr>
              <w:widowControl w:val="0"/>
              <w:tabs>
                <w:tab w:val="left" w:pos="1189"/>
              </w:tabs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Наименовании продукции</w:t>
            </w:r>
          </w:p>
        </w:tc>
      </w:tr>
      <w:tr w:rsidR="00F97B50" w14:paraId="3453461A" w14:textId="77777777">
        <w:tc>
          <w:tcPr>
            <w:tcW w:w="5098" w:type="dxa"/>
          </w:tcPr>
          <w:p w14:paraId="15F2B502" w14:textId="77777777" w:rsidR="00F97B50" w:rsidRDefault="00244A6F">
            <w:pPr>
              <w:spacing w:line="360" w:lineRule="atLeast"/>
              <w:jc w:val="center"/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  <w:t>2518 20 000 0</w:t>
            </w:r>
          </w:p>
          <w:p w14:paraId="1B16B9B6" w14:textId="77777777" w:rsidR="00F97B50" w:rsidRDefault="00244A6F">
            <w:pPr>
              <w:spacing w:line="360" w:lineRule="atLeast"/>
              <w:jc w:val="center"/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  <w:t>2520</w:t>
            </w:r>
          </w:p>
          <w:p w14:paraId="51DF467F" w14:textId="77777777" w:rsidR="00F97B50" w:rsidRDefault="00244A6F">
            <w:pPr>
              <w:spacing w:line="360" w:lineRule="atLeast"/>
              <w:jc w:val="center"/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  <w:t>2522</w:t>
            </w:r>
          </w:p>
          <w:p w14:paraId="7DA045A2" w14:textId="77777777" w:rsidR="00F97B50" w:rsidRDefault="00244A6F">
            <w:pPr>
              <w:spacing w:line="360" w:lineRule="atLeast"/>
              <w:jc w:val="center"/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  <w:t>2523 (за исключением 2523 10 000 0)</w:t>
            </w:r>
          </w:p>
          <w:p w14:paraId="089C4D58" w14:textId="77777777" w:rsidR="00F97B50" w:rsidRDefault="00244A6F">
            <w:pPr>
              <w:spacing w:line="360" w:lineRule="atLeast"/>
              <w:jc w:val="center"/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  <w:t>3214 (за исключением 3214 90 000 1)</w:t>
            </w:r>
          </w:p>
          <w:p w14:paraId="6F4FD540" w14:textId="77777777" w:rsidR="00F97B50" w:rsidRDefault="00244A6F">
            <w:pPr>
              <w:spacing w:line="360" w:lineRule="atLeast"/>
              <w:jc w:val="center"/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  <w:t>3816 00 000 0</w:t>
            </w:r>
          </w:p>
          <w:p w14:paraId="64B4DF80" w14:textId="77777777" w:rsidR="00F97B50" w:rsidRDefault="00244A6F">
            <w:pPr>
              <w:widowControl w:val="0"/>
              <w:tabs>
                <w:tab w:val="left" w:pos="1189"/>
              </w:tabs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  <w:t>3824 50</w:t>
            </w:r>
          </w:p>
        </w:tc>
        <w:tc>
          <w:tcPr>
            <w:tcW w:w="4529" w:type="dxa"/>
          </w:tcPr>
          <w:p w14:paraId="09EF1708" w14:textId="77777777" w:rsidR="00F97B50" w:rsidRDefault="00244A6F">
            <w:pPr>
              <w:widowControl w:val="0"/>
              <w:tabs>
                <w:tab w:val="left" w:pos="1189"/>
              </w:tabs>
              <w:spacing w:line="3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1" w:name="_Hlk153881478"/>
            <w:r>
              <w:rPr>
                <w:rFonts w:ascii="Times New Roman CYR" w:eastAsia="Times New Roman" w:hAnsi="Times New Roman CYR" w:cs="Times New Roman"/>
                <w:sz w:val="28"/>
                <w:szCs w:val="20"/>
                <w:lang w:eastAsia="ru-RU"/>
              </w:rPr>
              <w:t>Цемент, смеси бетонные и сухие строительные, растворы строительные</w:t>
            </w:r>
            <w:bookmarkEnd w:id="11"/>
          </w:p>
        </w:tc>
      </w:tr>
    </w:tbl>
    <w:p w14:paraId="79B5361F" w14:textId="77777777" w:rsidR="00F97B50" w:rsidRDefault="00F97B50">
      <w:pPr>
        <w:widowControl w:val="0"/>
        <w:tabs>
          <w:tab w:val="left" w:pos="1189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7EA4BEF" w14:textId="77777777" w:rsidR="00F97B50" w:rsidRDefault="00F97B50">
      <w:pPr>
        <w:widowControl w:val="0"/>
        <w:tabs>
          <w:tab w:val="left" w:pos="1189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26FCF4A" w14:textId="77777777" w:rsidR="00F97B50" w:rsidRDefault="00F97B50">
      <w:pPr>
        <w:widowControl w:val="0"/>
        <w:tabs>
          <w:tab w:val="left" w:pos="1189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6701DF5" w14:textId="77777777" w:rsidR="00F97B50" w:rsidRDefault="00F97B50">
      <w:pPr>
        <w:widowControl w:val="0"/>
        <w:tabs>
          <w:tab w:val="left" w:pos="1189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639EBD7" w14:textId="77777777" w:rsidR="00F97B50" w:rsidRDefault="00244A6F">
      <w:pPr>
        <w:widowControl w:val="0"/>
        <w:tabs>
          <w:tab w:val="left" w:pos="1189"/>
        </w:tabs>
        <w:spacing w:after="0" w:line="360" w:lineRule="exact"/>
        <w:rPr>
          <w:rFonts w:ascii="Times New Roman" w:eastAsia="Times New Roman" w:hAnsi="Times New Roman" w:cs="Times New Roman"/>
          <w:b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</w:rPr>
        <w:t>__________________</w:t>
      </w:r>
    </w:p>
    <w:p w14:paraId="4719548C" w14:textId="77777777" w:rsidR="00F97B50" w:rsidRDefault="00244A6F">
      <w:pPr>
        <w:widowControl w:val="0"/>
        <w:tabs>
          <w:tab w:val="left" w:pos="11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  <w:r>
        <w:rPr>
          <w:rStyle w:val="af9"/>
          <w:rFonts w:ascii="Times New Roman" w:hAnsi="Times New Roman" w:cs="Times New Roman"/>
          <w:sz w:val="20"/>
        </w:rPr>
        <w:t>*</w:t>
      </w:r>
      <w:r>
        <w:rPr>
          <w:rFonts w:ascii="Times New Roman" w:hAnsi="Times New Roman" w:cs="Times New Roman"/>
          <w:sz w:val="20"/>
        </w:rPr>
        <w:t xml:space="preserve"> Для целей применения настоящего </w:t>
      </w:r>
      <w:r>
        <w:rPr>
          <w:rFonts w:ascii="Times New Roman" w:hAnsi="Times New Roman" w:cs="Times New Roman"/>
          <w:sz w:val="20"/>
        </w:rPr>
        <w:t>перечня необходимо руководствоваться кодом единой Товарной номенклатуры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г. № 80, и наименованием товара.</w:t>
      </w:r>
    </w:p>
    <w:sectPr w:rsidR="00F97B50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02064" w14:textId="77777777" w:rsidR="00244A6F" w:rsidRDefault="00244A6F">
      <w:pPr>
        <w:spacing w:after="0" w:line="240" w:lineRule="auto"/>
      </w:pPr>
      <w:r>
        <w:separator/>
      </w:r>
    </w:p>
  </w:endnote>
  <w:endnote w:type="continuationSeparator" w:id="0">
    <w:p w14:paraId="1FB967F3" w14:textId="77777777" w:rsidR="00244A6F" w:rsidRDefault="0024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8D916" w14:textId="77777777" w:rsidR="00F97B50" w:rsidRDefault="00F97B50">
    <w:pPr>
      <w:pStyle w:val="af5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DB720" w14:textId="77777777" w:rsidR="00244A6F" w:rsidRDefault="00244A6F">
      <w:pPr>
        <w:spacing w:after="0" w:line="240" w:lineRule="auto"/>
      </w:pPr>
      <w:r>
        <w:separator/>
      </w:r>
    </w:p>
  </w:footnote>
  <w:footnote w:type="continuationSeparator" w:id="0">
    <w:p w14:paraId="52FE690B" w14:textId="77777777" w:rsidR="00244A6F" w:rsidRDefault="0024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3830169"/>
      <w:docPartObj>
        <w:docPartGallery w:val="Page Numbers (Top of Page)"/>
        <w:docPartUnique/>
      </w:docPartObj>
    </w:sdtPr>
    <w:sdtEndPr/>
    <w:sdtContent>
      <w:p w14:paraId="5C1872A8" w14:textId="77777777" w:rsidR="00F97B50" w:rsidRDefault="00244A6F">
        <w:pPr>
          <w:pStyle w:val="af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36030"/>
    <w:multiLevelType w:val="hybridMultilevel"/>
    <w:tmpl w:val="D9D6A3D0"/>
    <w:lvl w:ilvl="0" w:tplc="F950F64C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6FEE7524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6A9426A8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51269ED0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2372596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C4128A66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E1D436AE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15769560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0B7049EE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 w15:restartNumberingAfterBreak="0">
    <w:nsid w:val="57191D8B"/>
    <w:multiLevelType w:val="hybridMultilevel"/>
    <w:tmpl w:val="3B384E66"/>
    <w:lvl w:ilvl="0" w:tplc="ED8E0DEC">
      <w:start w:val="1"/>
      <w:numFmt w:val="decimal"/>
      <w:lvlText w:val="%1."/>
      <w:lvlJc w:val="left"/>
      <w:pPr>
        <w:ind w:left="1429" w:hanging="360"/>
      </w:pPr>
    </w:lvl>
    <w:lvl w:ilvl="1" w:tplc="91AA9A26">
      <w:start w:val="1"/>
      <w:numFmt w:val="lowerLetter"/>
      <w:lvlText w:val="%2."/>
      <w:lvlJc w:val="left"/>
      <w:pPr>
        <w:ind w:left="2149" w:hanging="360"/>
      </w:pPr>
    </w:lvl>
    <w:lvl w:ilvl="2" w:tplc="3724CC6E">
      <w:start w:val="1"/>
      <w:numFmt w:val="lowerRoman"/>
      <w:lvlText w:val="%3."/>
      <w:lvlJc w:val="right"/>
      <w:pPr>
        <w:ind w:left="2869" w:hanging="180"/>
      </w:pPr>
    </w:lvl>
    <w:lvl w:ilvl="3" w:tplc="238C21C0">
      <w:start w:val="1"/>
      <w:numFmt w:val="decimal"/>
      <w:lvlText w:val="%4."/>
      <w:lvlJc w:val="left"/>
      <w:pPr>
        <w:ind w:left="3589" w:hanging="360"/>
      </w:pPr>
    </w:lvl>
    <w:lvl w:ilvl="4" w:tplc="436CFF4C">
      <w:start w:val="1"/>
      <w:numFmt w:val="lowerLetter"/>
      <w:lvlText w:val="%5."/>
      <w:lvlJc w:val="left"/>
      <w:pPr>
        <w:ind w:left="4309" w:hanging="360"/>
      </w:pPr>
    </w:lvl>
    <w:lvl w:ilvl="5" w:tplc="C1846758">
      <w:start w:val="1"/>
      <w:numFmt w:val="lowerRoman"/>
      <w:lvlText w:val="%6."/>
      <w:lvlJc w:val="right"/>
      <w:pPr>
        <w:ind w:left="5029" w:hanging="180"/>
      </w:pPr>
    </w:lvl>
    <w:lvl w:ilvl="6" w:tplc="06F8B8DA">
      <w:start w:val="1"/>
      <w:numFmt w:val="decimal"/>
      <w:lvlText w:val="%7."/>
      <w:lvlJc w:val="left"/>
      <w:pPr>
        <w:ind w:left="5749" w:hanging="360"/>
      </w:pPr>
    </w:lvl>
    <w:lvl w:ilvl="7" w:tplc="107CE554">
      <w:start w:val="1"/>
      <w:numFmt w:val="lowerLetter"/>
      <w:lvlText w:val="%8."/>
      <w:lvlJc w:val="left"/>
      <w:pPr>
        <w:ind w:left="6469" w:hanging="360"/>
      </w:pPr>
    </w:lvl>
    <w:lvl w:ilvl="8" w:tplc="80E693F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50"/>
    <w:rsid w:val="00244A6F"/>
    <w:rsid w:val="00252068"/>
    <w:rsid w:val="00F9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5EFF"/>
  <w15:docId w15:val="{04321B55-2EF7-4EA1-B48D-9B5456E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after="0" w:line="240" w:lineRule="auto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1669</Words>
  <Characters>9518</Characters>
  <Application>Microsoft Office Word</Application>
  <DocSecurity>0</DocSecurity>
  <Lines>79</Lines>
  <Paragraphs>22</Paragraphs>
  <ScaleCrop>false</ScaleCrop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Елена Владимировна</dc:creator>
  <cp:keywords/>
  <dc:description/>
  <cp:lastModifiedBy>Коновалова Елена Владимировна</cp:lastModifiedBy>
  <cp:revision>2</cp:revision>
  <dcterms:created xsi:type="dcterms:W3CDTF">2024-01-15T04:22:00Z</dcterms:created>
  <dcterms:modified xsi:type="dcterms:W3CDTF">2024-01-15T04:22:00Z</dcterms:modified>
</cp:coreProperties>
</file>